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3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5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68"/>
        <w:gridCol w:w="7689"/>
        <w:gridCol w:w="1368"/>
      </w:tblGrid>
      <w:tr>
        <w:tc>
          <w:tcPr>
            <w:tcW w:type="dxa" w:w="136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/>
        </w:tc>
        <w:tc>
          <w:tcPr>
            <w:tcW w:type="dxa" w:w="7689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10" w:line="560" w:lineRule="exact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color w:val="000000"/>
                <w:sz w:val="47"/>
              </w:rPr>
              <w:t>巫洋</w:t>
            </w:r>
          </w:p>
          <w:p>
            <w:pPr>
              <w:spacing w:before="0" w:after="8" w:line="240" w:lineRule="exact"/>
              <w:jc w:val="center"/>
            </w:pPr>
            <w:r>
              <w:rPr>
                <w:rFonts w:ascii="Arial Unicode MS" w:hAnsi="Arial Unicode MS" w:eastAsia="Arial Unicode MS" w:cs="Arial Unicode MS"/>
                <w:b/>
                <w:color w:val="444444"/>
                <w:sz w:val="19"/>
              </w:rPr>
              <w:t>游戏运营 | 玩家洞察 · 内容运营 · 项目推进 · AI工具</w:t>
            </w:r>
          </w:p>
          <w:p>
            <w:pPr>
              <w:spacing w:before="0" w:after="0" w:line="216" w:lineRule="exact"/>
              <w:jc w:val="center"/>
            </w:pPr>
            <w:r>
              <w:rPr>
                <w:rFonts w:ascii="Arial Unicode MS" w:hAnsi="Arial Unicode MS" w:eastAsia="Arial Unicode MS" w:cs="Arial Unicode MS"/>
                <w:color w:val="5C5C5C"/>
                <w:sz w:val="17"/>
              </w:rPr>
              <w:t>15923340913（同微信） | 3383294669@qq.com</w:t>
            </w:r>
          </w:p>
          <w:p>
            <w:pPr>
              <w:spacing w:before="0" w:after="0" w:line="216" w:lineRule="exact"/>
              <w:jc w:val="center"/>
            </w:pPr>
            <w:r>
              <w:rPr>
                <w:rFonts w:ascii="Arial Unicode MS" w:hAnsi="Arial Unicode MS" w:eastAsia="Arial Unicode MS" w:cs="Arial Unicode MS"/>
                <w:color w:val="5C5C5C"/>
                <w:sz w:val="16"/>
                <w:szCs w:val="16"/>
              </w:rPr>
              <w:t>个人作品集网站：</w:t>
            </w:r>
            <w:hyperlink r:id="rId14">
              <w:r>
                <w:rPr>
                  <w:rFonts w:ascii="Arial Unicode MS" w:hAnsi="Arial Unicode MS" w:eastAsia="Arial Unicode MS" w:cs="Arial Unicode MS"/>
                  <w:color w:val="5C5C5C"/>
                  <w:sz w:val="16"/>
                  <w:szCs w:val="16"/>
                  <w:u w:val="single"/>
                </w:rPr>
                <w:t>wuyang-portfolio.pages.dev</w:t>
              </w:r>
            </w:hyperlink>
          </w:p>
        </w:tc>
        <w:tc>
          <w:tcPr>
            <w:tcW w:type="dxa" w:w="136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 Unicode MS" w:hAnsi="Arial Unicode MS" w:eastAsia="Arial Unicode MS" w:cs="Arial Unicode MS"/>
              </w:rPr>
              <w:drawing>
                <wp:inline xmlns:a="http://schemas.openxmlformats.org/drawingml/2006/main" xmlns:pic="http://schemas.openxmlformats.org/drawingml/2006/picture">
                  <wp:extent cx="713232" cy="869252"/>
                  <wp:docPr id="1" name="Picture 1" descr="巫洋证件照" title="巫洋证件照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8692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84" w:after="48" w:line="312" w:lineRule="exact"/>
        <w:pBdr>
          <w:bottom w:val="single" w:sz="8" w:space="2" w:color="000000"/>
        </w:pBdr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教育背景</w:t>
      </w:r>
    </w:p>
    <w:p>
      <w:pPr>
        <w:keepNext/>
        <w:tabs>
          <w:tab w:pos="5256" w:val="center"/>
          <w:tab w:pos="10339" w:val="right"/>
        </w:tabs>
        <w:spacing w:before="0" w:after="14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电子商务 | 本科在读</w:t>
      </w:r>
      <w:r>
        <w:rPr>
          <w:rFonts w:ascii="Arial Unicode MS" w:hAnsi="Arial Unicode MS" w:eastAsia="Arial Unicode MS" w:cs="Arial Unicode MS"/>
          <w:b/>
          <w:color w:val="000000"/>
          <w:sz w:val="18"/>
        </w:rPr>
        <w:tab/>
        <w:t>广东工业大学</w:t>
      </w:r>
      <w:r>
        <w:rPr>
          <w:rFonts w:ascii="Arial Unicode MS" w:hAnsi="Arial Unicode MS" w:eastAsia="Arial Unicode MS" w:cs="Arial Unicode MS"/>
          <w:b/>
          <w:color w:val="000000"/>
          <w:sz w:val="18"/>
        </w:rPr>
        <w:tab/>
        <w:t>2023.09-2027.06</w:t>
      </w:r>
    </w:p>
    <w:p>
      <w:pPr>
        <w:widowControl/>
        <w:spacing w:before="0" w:after="22" w:line="230" w:lineRule="exact"/>
      </w:pPr>
      <w:r>
        <w:rPr>
          <w:rFonts w:ascii="Arial Unicode MS" w:hAnsi="Arial Unicode MS" w:eastAsia="Arial Unicode MS" w:cs="Arial Unicode MS"/>
          <w:color w:val="000000"/>
          <w:sz w:val="17"/>
        </w:rPr>
        <w:t>主修：互联网产品设计、数据挖掘、大数据分析、网络营销 | 荣誉：优秀团员、优秀志愿者、学业优秀标兵</w:t>
      </w:r>
    </w:p>
    <w:p>
      <w:pPr>
        <w:keepNext/>
        <w:spacing w:before="84" w:after="48" w:line="312" w:lineRule="exact"/>
        <w:pBdr>
          <w:bottom w:val="single" w:sz="8" w:space="2" w:color="000000"/>
        </w:pBdr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实习经历</w:t>
      </w:r>
    </w:p>
    <w:p>
      <w:pPr>
        <w:keepNext/>
        <w:tabs>
          <w:tab w:pos="5256" w:val="center"/>
          <w:tab w:pos="10339" w:val="right"/>
        </w:tabs>
        <w:spacing w:before="48" w:after="26" w:line="252" w:lineRule="exact"/>
      </w:pPr>
      <w:r>
        <w:rPr>
          <w:rFonts w:ascii="Arial Unicode MS" w:hAnsi="Arial Unicode MS" w:eastAsia="Arial Unicode MS" w:cs="Arial Unicode MS"/>
          <w:b/>
          <w:color w:val="000000"/>
          <w:sz w:val="20"/>
        </w:rPr>
        <w:t xml:space="preserve">搜狐畅游 </w:t>
      </w:r>
      <w:r>
        <w:rPr>
          <w:rFonts w:ascii="Arial Unicode MS" w:hAnsi="Arial Unicode MS" w:eastAsia="Arial Unicode MS" w:cs="Arial Unicode MS"/>
        </w:rPr>
        <w:drawing>
          <wp:inline xmlns:a="http://schemas.openxmlformats.org/drawingml/2006/main" xmlns:pic="http://schemas.openxmlformats.org/drawingml/2006/picture">
            <wp:extent cx="132588" cy="56823"/>
            <wp:docPr id="2" name="Picture 2" descr="百度贴吧图标" title="百度贴吧图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eb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588" cy="56823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444444"/>
          <w:sz w:val="20"/>
        </w:rPr>
        <w:t>运营策划</w:t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000000"/>
          <w:sz w:val="19"/>
        </w:rPr>
        <w:t>2026.08-至今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业务背景：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发行部门通过机会扫描、玩家验证与产品评审支持游戏孵化；我独立负责概念验证模块，连接研究材料、问卷运营、结果处理与评审分析。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机会扫描：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按团队选品思路在YouTube扫描100+款候选游戏，以二合、放置、模拟经营等休闲品类为主要研究范围；梳理题材、玩法与玩家利益点，制作概念验证材料。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验证运营：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推进问卷配置发布、进度监控、补发与状态更新，维护600+条存量问卷；维护产品表、研究材料与流程SOP，衔接下一批验证。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评审分析：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结合用研信号及竞品资料，为50+款候选游戏形成成功逻辑、吸引力、阶段留存和付费结构分析，向团队交付产品级评审材料。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玩家与卖点：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负责《天龙归来》留存与流失痛点研究，聚焦宝石、重楼等福利利益点，开展二次用研，跟进项目数据并以下载原因调查复盘卖点。</w:t>
      </w:r>
    </w:p>
    <w:p>
      <w:pPr>
        <w:widowControl/>
        <w:numPr>
          <w:ilvl w:val="0"/>
          <w:numId w:val="10"/>
        </w:numPr>
        <w:spacing w:before="0" w:after="30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AI流程提效：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针对用研结果逐项人工复核及反馈延迟，制作AI辅助数据提取与分析工具，集中展示样本、试玩意愿和状态，提高结果处理效率与反馈及时性。</w:t>
      </w:r>
    </w:p>
    <w:p>
      <w:pPr>
        <w:keepNext/>
        <w:tabs>
          <w:tab w:pos="5256" w:val="center"/>
          <w:tab w:pos="10339" w:val="right"/>
        </w:tabs>
        <w:spacing w:before="48" w:after="26" w:line="252" w:lineRule="exact"/>
      </w:pPr>
      <w:r>
        <w:rPr>
          <w:rFonts w:ascii="Arial Unicode MS" w:hAnsi="Arial Unicode MS" w:eastAsia="Arial Unicode MS" w:cs="Arial Unicode MS"/>
          <w:b/>
          <w:color w:val="000000"/>
          <w:sz w:val="20"/>
        </w:rPr>
        <w:t xml:space="preserve">百度贴吧 </w:t>
      </w:r>
      <w:r>
        <w:rPr>
          <w:rFonts w:ascii="Arial Unicode MS" w:hAnsi="Arial Unicode MS" w:eastAsia="Arial Unicode MS" w:cs="Arial Unicode MS"/>
        </w:rPr>
        <w:drawing>
          <wp:inline xmlns:a="http://schemas.openxmlformats.org/drawingml/2006/main" xmlns:pic="http://schemas.openxmlformats.org/drawingml/2006/picture">
            <wp:extent cx="132588" cy="132588"/>
            <wp:docPr id="3" name="Picture 3" descr="比心图标" title="比心图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xi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" cy="1325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444444"/>
          <w:sz w:val="20"/>
        </w:rPr>
        <w:t>用户运营（游戏方向）</w:t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000000"/>
          <w:sz w:val="19"/>
        </w:rPr>
        <w:t>2026.05-2026.08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业务背景：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游戏社区通过内容、创作者与工具承接玩家讨论和攻略需求；我负责运营规则、信源整理与工具制作，协同研发推进上线和复盘。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内容供给：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主导AI电竞内容平台运营需求与试点，整理上千条信源，协同研发上线；团队近两个月供给电竞资讯3000+条，并持续复盘信源、模型与用户反馈。</w:t>
      </w:r>
    </w:p>
    <w:p>
      <w:pPr>
        <w:widowControl/>
        <w:numPr>
          <w:ilvl w:val="0"/>
          <w:numId w:val="10"/>
        </w:numPr>
        <w:spacing w:before="0" w:after="30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攻略工具：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围绕玩家即时查询需求，制作攻略H5、可视化编辑器及内容工具；核电站攻略阶段获2.5万分发、触达1.9万用户，日使用300+，并跟进阶段复盘。</w:t>
      </w:r>
    </w:p>
    <w:p>
      <w:pPr>
        <w:keepNext/>
        <w:tabs>
          <w:tab w:pos="5256" w:val="center"/>
          <w:tab w:pos="10339" w:val="right"/>
        </w:tabs>
        <w:spacing w:before="48" w:after="26" w:line="252" w:lineRule="exact"/>
      </w:pPr>
      <w:r>
        <w:rPr>
          <w:rFonts w:ascii="Arial Unicode MS" w:hAnsi="Arial Unicode MS" w:eastAsia="Arial Unicode MS" w:cs="Arial Unicode MS"/>
          <w:b/>
          <w:color w:val="000000"/>
          <w:sz w:val="20"/>
        </w:rPr>
        <w:t xml:space="preserve">比心 </w:t>
      </w:r>
      <w:r>
        <w:rPr>
          <w:rFonts w:ascii="Arial Unicode MS" w:hAnsi="Arial Unicode MS" w:eastAsia="Arial Unicode MS" w:cs="Arial Unicode MS"/>
        </w:rPr>
        <w:drawing>
          <wp:inline xmlns:a="http://schemas.openxmlformats.org/drawingml/2006/main" xmlns:pic="http://schemas.openxmlformats.org/drawingml/2006/picture">
            <wp:extent cx="132588" cy="132588"/>
            <wp:docPr id="4" name="Picture 4" descr="PicWiz AI图标" title="PicWiz AI图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wiz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588" cy="1325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444444"/>
          <w:sz w:val="20"/>
        </w:rPr>
        <w:t>用户运营（游戏方向）</w:t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000000"/>
          <w:sz w:val="19"/>
        </w:rPr>
        <w:t>2026.02-2026.05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业务背景：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平台通过玩家需求与陪玩服务供给匹配促成交易；我聚焦售前需求表达，将订单备注转为产品与算法可用的标签和规则输入。</w:t>
      </w:r>
    </w:p>
    <w:p>
      <w:pPr>
        <w:widowControl/>
        <w:numPr>
          <w:ilvl w:val="0"/>
          <w:numId w:val="10"/>
        </w:numPr>
        <w:spacing w:before="0" w:after="20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需求与匹配：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分析95,073条订单样本，归纳四类核心需求并识别品类差异，协同优化标签字段与匹配规则；项目取得转化率与流水的方向性提升。</w:t>
      </w:r>
    </w:p>
    <w:p>
      <w:pPr>
        <w:keepNext/>
        <w:spacing w:before="84" w:after="48" w:line="312" w:lineRule="exact"/>
        <w:pBdr>
          <w:bottom w:val="single" w:sz="8" w:space="2" w:color="000000"/>
        </w:pBdr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项目经历</w:t>
      </w:r>
    </w:p>
    <w:p>
      <w:pPr>
        <w:keepNext/>
        <w:tabs>
          <w:tab w:pos="5256" w:val="center"/>
          <w:tab w:pos="10339" w:val="right"/>
        </w:tabs>
        <w:spacing w:before="48" w:after="26" w:line="252" w:lineRule="exact"/>
      </w:pPr>
      <w:r>
        <w:rPr>
          <w:rFonts w:ascii="Arial Unicode MS" w:hAnsi="Arial Unicode MS" w:eastAsia="Arial Unicode MS" w:cs="Arial Unicode MS"/>
          <w:b/>
          <w:color w:val="000000"/>
          <w:sz w:val="20"/>
        </w:rPr>
        <w:t xml:space="preserve">无畏契约个人IP </w:t>
      </w:r>
      <w:r>
        <w:rPr>
          <w:rFonts w:ascii="Arial Unicode MS" w:hAnsi="Arial Unicode MS" w:eastAsia="Arial Unicode MS" w:cs="Arial Unicode MS"/>
        </w:rPr>
        <w:drawing>
          <wp:inline xmlns:a="http://schemas.openxmlformats.org/drawingml/2006/main" xmlns:pic="http://schemas.openxmlformats.org/drawingml/2006/picture">
            <wp:extent cx="132588" cy="132588"/>
            <wp:docPr id="5" name="Picture 5" descr="无畏契约个人IP图标" title="无畏契约个人IP图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oran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588" cy="1325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444444"/>
          <w:sz w:val="20"/>
        </w:rPr>
        <w:t>合伙运营</w:t>
      </w:r>
      <w:r>
        <w:rPr>
          <w:rFonts w:ascii="Arial Unicode MS" w:hAnsi="Arial Unicode MS" w:eastAsia="Arial Unicode MS" w:cs="Arial Unicode MS"/>
          <w:color w:val="000000"/>
          <w:sz w:val="20"/>
        </w:rPr>
        <w:tab/>
      </w:r>
      <w:r>
        <w:rPr>
          <w:rFonts w:ascii="Arial Unicode MS" w:hAnsi="Arial Unicode MS" w:eastAsia="Arial Unicode MS" w:cs="Arial Unicode MS"/>
          <w:b/>
          <w:color w:val="000000"/>
          <w:sz w:val="19"/>
        </w:rPr>
        <w:t>内容与城市观赛社群</w:t>
      </w:r>
    </w:p>
    <w:p>
      <w:pPr>
        <w:widowControl/>
        <w:numPr>
          <w:ilvl w:val="0"/>
          <w:numId w:val="10"/>
        </w:numPr>
        <w:spacing w:before="0" w:after="23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内容与社群：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合伙运营赛事内容账号，参与选题、4类栏目及账号矩阵维护，发布45期内容；三平台合计1.5万+粉丝（未去重），抖音累计获赞57.6万。</w:t>
      </w:r>
    </w:p>
    <w:p>
      <w:pPr>
        <w:widowControl/>
        <w:numPr>
          <w:ilvl w:val="0"/>
          <w:numId w:val="10"/>
        </w:numPr>
        <w:spacing w:before="0" w:after="20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线下活动：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维护11个城市观赛群，协同组织4场线下观赛，累计参与200+人次，将线上赛事讨论延伸为持续社群连接。</w:t>
      </w:r>
    </w:p>
    <w:p>
      <w:pPr>
        <w:keepNext/>
        <w:spacing w:before="84" w:after="48" w:line="312" w:lineRule="exact"/>
        <w:pBdr>
          <w:bottom w:val="single" w:sz="8" w:space="2" w:color="000000"/>
        </w:pBdr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游戏经历</w:t>
      </w:r>
    </w:p>
    <w:p>
      <w:pPr>
        <w:widowControl/>
        <w:numPr>
          <w:ilvl w:val="0"/>
          <w:numId w:val="10"/>
        </w:numPr>
        <w:spacing w:before="0" w:after="16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竞技与协作：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《无畏契约》《三角洲行动》《THE FINALS》累计3000+小时；无畏契约全国前0.1%，熟悉竞技对抗、组队协作与玩家沟通场景。</w:t>
      </w:r>
    </w:p>
    <w:p>
      <w:pPr>
        <w:widowControl/>
        <w:numPr>
          <w:ilvl w:val="0"/>
          <w:numId w:val="10"/>
        </w:numPr>
        <w:spacing w:before="0" w:after="16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策略与构筑：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炉石传说约国服2000名；《杀戮尖塔》全职业通关，关注玩法构筑、学习成本与重复挑战体验。</w:t>
      </w:r>
    </w:p>
    <w:p>
      <w:pPr>
        <w:widowControl/>
        <w:numPr>
          <w:ilvl w:val="0"/>
          <w:numId w:val="10"/>
        </w:numPr>
        <w:spacing w:before="0" w:after="20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内容与养成：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《赛博朋克2077》约300小时、《怪物猎人》系列约400小时，关注内容探索、成长反馈和长期游玩动力。</w:t>
      </w:r>
    </w:p>
    <w:p>
      <w:pPr>
        <w:keepNext/>
        <w:spacing w:before="84" w:after="48" w:line="312" w:lineRule="exact"/>
        <w:pBdr>
          <w:bottom w:val="single" w:sz="8" w:space="2" w:color="000000"/>
        </w:pBdr>
      </w:pPr>
      <w:r>
        <w:rPr>
          <w:rFonts w:ascii="Arial Unicode MS" w:hAnsi="Arial Unicode MS" w:eastAsia="Arial Unicode MS" w:cs="Arial Unicode MS"/>
          <w:b/>
          <w:color w:val="000000"/>
          <w:sz w:val="26"/>
        </w:rPr>
        <w:t>工作技能</w:t>
      </w:r>
    </w:p>
    <w:p>
      <w:pPr>
        <w:widowControl/>
        <w:numPr>
          <w:ilvl w:val="0"/>
          <w:numId w:val="10"/>
        </w:numPr>
        <w:spacing w:before="0" w:after="14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研究与分析：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使用Excel整理数据、分类需求与复盘指标，能够开展用户研究、竞品拆解和运营规则设计，形成清晰的分析结论。</w:t>
      </w:r>
    </w:p>
    <w:p>
      <w:pPr>
        <w:widowControl/>
        <w:numPr>
          <w:ilvl w:val="0"/>
          <w:numId w:val="10"/>
        </w:numPr>
        <w:spacing w:before="0" w:after="0" w:line="244" w:lineRule="exact"/>
      </w:pPr>
      <w:r>
        <w:rPr>
          <w:rFonts w:ascii="Arial Unicode MS" w:hAnsi="Arial Unicode MS" w:eastAsia="Arial Unicode MS" w:cs="Arial Unicode MS"/>
          <w:b/>
          <w:color w:val="000000"/>
          <w:sz w:val="18"/>
        </w:rPr>
        <w:t>工具与协同：</w:t>
      </w:r>
      <w:r>
        <w:rPr>
          <w:rFonts w:ascii="Arial Unicode MS" w:hAnsi="Arial Unicode MS" w:eastAsia="Arial Unicode MS" w:cs="Arial Unicode MS"/>
          <w:b w:val="0"/>
          <w:color w:val="000000"/>
          <w:sz w:val="18"/>
        </w:rPr>
        <w:t>具备AI辅助内容生产与工具制作经验，可将重复运营任务转成可复用流程；能用需求文档、SOP和阶段复盘推进跨团队协作。</w:t>
      </w:r>
    </w:p>
    <w:sectPr w:rsidR="00FC693F" w:rsidRPr="0006063C" w:rsidSect="00034616">
      <w:pgSz w:w="11906" w:h="16838"/>
      <w:pgMar w:top="595" w:right="737" w:bottom="595" w:left="737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240"/>
        </w:tabs>
        <w:ind w:left="240" w:hanging="150"/>
      </w:pPr>
      <w:rPr>
        <w:rFonts w:ascii="Arial" w:hAnsi="Arial"/>
        <w:sz w:val="15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44" w:lineRule="exact"/>
    </w:pPr>
    <w:rPr>
      <w:rFonts w:ascii="Microsoft YaHei" w:hAnsi="Microsoft YaHei" w:eastAsia="Microsoft YaHe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png"/><Relationship Id="rId14" Type="http://schemas.openxmlformats.org/officeDocument/2006/relationships/hyperlink" Target="https://wuyang-portfolio.pages.dev/?v=20260508&amp;profile=game-user-operations" TargetMode="External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巫洋 - 小黑盒游戏项目管理定制简历</dc:title>
  <dc:subject>小黑盒秋招游戏项目管理定制投递</dc:subject>
  <dc:creator>巫洋</dc:creator>
  <cp:keywords>小黑盒, 游戏项目管理, 游戏发行推广, KOL/KOC, 活动执行, 数据复盘, AI工具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